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035F55" w:rsidP="00892E1E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D57C32" w:rsidRDefault="00D57C32" w:rsidP="00D57C32">
      <w:pPr>
        <w:ind w:firstLine="709"/>
        <w:jc w:val="center"/>
        <w:rPr>
          <w:rStyle w:val="anegp0gi0b9av8jahpyh"/>
          <w:b/>
          <w:sz w:val="28"/>
          <w:szCs w:val="28"/>
        </w:rPr>
      </w:pPr>
      <w:proofErr w:type="spellStart"/>
      <w:r>
        <w:rPr>
          <w:rStyle w:val="anegp0gi0b9av8jahpyh"/>
          <w:b/>
          <w:sz w:val="28"/>
          <w:szCs w:val="28"/>
        </w:rPr>
        <w:t>Ауыз</w:t>
      </w:r>
      <w:proofErr w:type="spellEnd"/>
      <w:r>
        <w:rPr>
          <w:b/>
          <w:sz w:val="28"/>
          <w:szCs w:val="28"/>
          <w:lang w:val="kk-KZ"/>
        </w:rPr>
        <w:t>с</w:t>
      </w:r>
      <w:r>
        <w:rPr>
          <w:rStyle w:val="anegp0gi0b9av8jahpyh"/>
          <w:b/>
          <w:sz w:val="28"/>
          <w:szCs w:val="28"/>
        </w:rPr>
        <w:t>уды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беру</w:t>
      </w:r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жөніндегі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қызметтердің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құны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субсидиялауға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жататын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жүйелерінен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берілген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ауызсудың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бі</w:t>
      </w:r>
      <w:proofErr w:type="gramStart"/>
      <w:r>
        <w:rPr>
          <w:rStyle w:val="anegp0gi0b9av8jahpyh"/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текше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метріне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төлемақы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мөлшерін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есептеу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әдістемесін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бекіту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туралы</w:t>
      </w:r>
      <w:proofErr w:type="spellEnd"/>
    </w:p>
    <w:p w:rsidR="00D57C32" w:rsidRDefault="00D57C32" w:rsidP="00D57C32">
      <w:pPr>
        <w:ind w:firstLine="709"/>
        <w:jc w:val="both"/>
      </w:pPr>
    </w:p>
    <w:p w:rsidR="00D57C32" w:rsidRDefault="00D57C32" w:rsidP="00D57C32">
      <w:pPr>
        <w:ind w:firstLine="709"/>
        <w:jc w:val="both"/>
        <w:rPr>
          <w:sz w:val="28"/>
        </w:rPr>
      </w:pPr>
    </w:p>
    <w:p w:rsidR="00D57C32" w:rsidRDefault="00D57C32" w:rsidP="00D57C32">
      <w:pPr>
        <w:ind w:firstLine="709"/>
        <w:jc w:val="both"/>
        <w:rPr>
          <w:sz w:val="28"/>
          <w:szCs w:val="28"/>
        </w:rPr>
      </w:pP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</w:t>
      </w:r>
      <w:r>
        <w:rPr>
          <w:sz w:val="28"/>
          <w:szCs w:val="28"/>
        </w:rPr>
        <w:t xml:space="preserve">-тармағының </w:t>
      </w:r>
      <w:r>
        <w:rPr>
          <w:sz w:val="28"/>
          <w:szCs w:val="28"/>
        </w:rPr>
        <w:br/>
      </w:r>
      <w:r>
        <w:rPr>
          <w:rStyle w:val="anegp0gi0b9av8jahpyh"/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тармақшасына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, </w:t>
      </w:r>
      <w:r>
        <w:rPr>
          <w:rStyle w:val="anegp0gi0b9av8jahpyh"/>
          <w:b/>
          <w:sz w:val="28"/>
          <w:szCs w:val="28"/>
        </w:rPr>
        <w:t>БҰЙЫРАМЫН</w:t>
      </w:r>
      <w:r>
        <w:rPr>
          <w:b/>
          <w:sz w:val="28"/>
          <w:szCs w:val="28"/>
        </w:rPr>
        <w:t>:</w:t>
      </w:r>
    </w:p>
    <w:p w:rsidR="00D57C32" w:rsidRDefault="00D57C32" w:rsidP="00D57C32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spellStart"/>
      <w:r>
        <w:rPr>
          <w:rStyle w:val="anegp0gi0b9av8jahpyh"/>
          <w:sz w:val="28"/>
          <w:szCs w:val="28"/>
        </w:rPr>
        <w:t>Ауызсуды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ауызсудың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</w:t>
      </w:r>
      <w:proofErr w:type="gramStart"/>
      <w:r>
        <w:rPr>
          <w:rStyle w:val="anegp0gi0b9av8jahpyh"/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ә</w:t>
      </w:r>
      <w:proofErr w:type="spellStart"/>
      <w:r>
        <w:rPr>
          <w:rStyle w:val="anegp0gi0b9av8jahpyh"/>
          <w:sz w:val="28"/>
          <w:szCs w:val="28"/>
        </w:rPr>
        <w:t>дістемесі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бекітілсін</w:t>
      </w:r>
      <w:proofErr w:type="spellEnd"/>
      <w:r>
        <w:rPr>
          <w:sz w:val="28"/>
          <w:szCs w:val="28"/>
        </w:rPr>
        <w:t>.</w:t>
      </w:r>
    </w:p>
    <w:p w:rsidR="00D57C32" w:rsidRDefault="00D57C32" w:rsidP="00D57C32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Өнеркәсі</w:t>
      </w:r>
      <w:proofErr w:type="gramStart"/>
      <w:r>
        <w:rPr>
          <w:rStyle w:val="anegp0gi0b9av8jahpyh"/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министрлігінің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</w:t>
      </w:r>
      <w:proofErr w:type="gramStart"/>
      <w:r>
        <w:rPr>
          <w:rStyle w:val="anegp0gi0b9av8jahpyh"/>
          <w:sz w:val="28"/>
          <w:szCs w:val="28"/>
        </w:rPr>
        <w:t>р</w:t>
      </w:r>
      <w:proofErr w:type="gramEnd"/>
      <w:r>
        <w:rPr>
          <w:rStyle w:val="anegp0gi0b9av8jahpyh"/>
          <w:sz w:val="28"/>
          <w:szCs w:val="28"/>
        </w:rPr>
        <w:t>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үй</w:t>
      </w:r>
      <w:r>
        <w:rPr>
          <w:rStyle w:val="anegp0gi0b9av8jahpyh"/>
          <w:sz w:val="28"/>
          <w:szCs w:val="28"/>
        </w:rPr>
        <w:t>-коммуналдық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шаруашылық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істері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комитеті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заңнамада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тәртіппен</w:t>
      </w:r>
      <w:proofErr w:type="spellEnd"/>
      <w:r>
        <w:rPr>
          <w:sz w:val="28"/>
          <w:szCs w:val="28"/>
        </w:rPr>
        <w:t>:</w:t>
      </w:r>
    </w:p>
    <w:p w:rsidR="00D57C32" w:rsidRDefault="00D57C32" w:rsidP="00D57C32">
      <w:pPr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Әділет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министрлігінде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тіркеу</w:t>
      </w:r>
      <w:proofErr w:type="spellEnd"/>
      <w:r>
        <w:rPr>
          <w:rStyle w:val="anegp0gi0b9av8jahpyh"/>
          <w:sz w:val="28"/>
          <w:szCs w:val="28"/>
          <w:lang w:val="kk-KZ"/>
        </w:rPr>
        <w:t>ді</w:t>
      </w:r>
      <w:r>
        <w:rPr>
          <w:sz w:val="28"/>
          <w:szCs w:val="28"/>
        </w:rPr>
        <w:t>;</w:t>
      </w:r>
    </w:p>
    <w:p w:rsidR="00D57C32" w:rsidRDefault="00D57C32" w:rsidP="00D57C32">
      <w:pPr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Өнеркәсі</w:t>
      </w:r>
      <w:proofErr w:type="gramStart"/>
      <w:r>
        <w:rPr>
          <w:rStyle w:val="anegp0gi0b9av8jahpyh"/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министрлігінің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интернет-</w:t>
      </w:r>
      <w:proofErr w:type="spellStart"/>
      <w:r>
        <w:rPr>
          <w:rStyle w:val="anegp0gi0b9av8jahpyh"/>
          <w:sz w:val="28"/>
          <w:szCs w:val="28"/>
        </w:rPr>
        <w:t>ресурсында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орналастыру</w:t>
      </w:r>
      <w:proofErr w:type="spellEnd"/>
      <w:r>
        <w:rPr>
          <w:sz w:val="28"/>
          <w:szCs w:val="28"/>
          <w:lang w:val="kk-KZ"/>
        </w:rPr>
        <w:t>ды қамтамасыз етсін</w:t>
      </w:r>
      <w:r>
        <w:rPr>
          <w:sz w:val="28"/>
          <w:szCs w:val="28"/>
        </w:rPr>
        <w:t>.</w:t>
      </w:r>
    </w:p>
    <w:p w:rsidR="00D57C32" w:rsidRDefault="00D57C32" w:rsidP="00D57C32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бұйрықтың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орындалуын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бақылау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жетекшілік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Өнеркәсі</w:t>
      </w:r>
      <w:proofErr w:type="gramStart"/>
      <w:r>
        <w:rPr>
          <w:rStyle w:val="anegp0gi0b9av8jahpyh"/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құрылыс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вице-</w:t>
      </w:r>
      <w:proofErr w:type="spellStart"/>
      <w:r>
        <w:rPr>
          <w:rStyle w:val="anegp0gi0b9av8jahpyh"/>
          <w:sz w:val="28"/>
          <w:szCs w:val="28"/>
        </w:rPr>
        <w:t>министріне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жүктелсін</w:t>
      </w:r>
      <w:proofErr w:type="spellEnd"/>
      <w:r>
        <w:rPr>
          <w:sz w:val="28"/>
          <w:szCs w:val="28"/>
        </w:rPr>
        <w:t>.</w:t>
      </w:r>
    </w:p>
    <w:p w:rsidR="00D57C32" w:rsidRDefault="00D57C32" w:rsidP="00D57C32">
      <w:pPr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алғашқы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кейін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күнтізбелік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олданыс</w:t>
      </w:r>
      <w:proofErr w:type="gramEnd"/>
      <w:r>
        <w:rPr>
          <w:sz w:val="28"/>
          <w:szCs w:val="28"/>
        </w:rPr>
        <w:t>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енгізіледі</w:t>
      </w:r>
      <w:proofErr w:type="spellEnd"/>
      <w:r>
        <w:rPr>
          <w:sz w:val="28"/>
          <w:szCs w:val="28"/>
        </w:rPr>
        <w:t>.</w:t>
      </w:r>
    </w:p>
    <w:p w:rsidR="00D57C32" w:rsidRDefault="00D57C32" w:rsidP="00D57C32">
      <w:pPr>
        <w:rPr>
          <w:color w:val="3399FF"/>
          <w:lang w:val="kk-KZ"/>
        </w:rPr>
      </w:pPr>
    </w:p>
    <w:p w:rsidR="00D57C32" w:rsidRDefault="00D57C32" w:rsidP="00D57C32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57C32" w:rsidTr="00D57C32">
        <w:tc>
          <w:tcPr>
            <w:tcW w:w="3652" w:type="dxa"/>
            <w:hideMark/>
          </w:tcPr>
          <w:p w:rsidR="00D57C32" w:rsidRDefault="00D57C3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Аты-жөні</w:t>
            </w:r>
          </w:p>
        </w:tc>
      </w:tr>
    </w:tbl>
    <w:p w:rsidR="00D57C32" w:rsidRDefault="00D57C32" w:rsidP="00D57C32">
      <w:pPr>
        <w:overflowPunct/>
        <w:autoSpaceDE/>
        <w:adjustRightInd/>
        <w:rPr>
          <w:lang w:val="kk-KZ"/>
        </w:rPr>
      </w:pPr>
    </w:p>
    <w:p w:rsidR="00D57C32" w:rsidRDefault="00D57C32" w:rsidP="00D57C32">
      <w:pPr>
        <w:overflowPunct/>
        <w:autoSpaceDE/>
        <w:adjustRightInd/>
        <w:rPr>
          <w:lang w:val="kk-KZ"/>
        </w:rPr>
      </w:pPr>
    </w:p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D57C32" w:rsidRDefault="00D57C32" w:rsidP="00D57C32">
      <w:pPr>
        <w:ind w:firstLine="708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Әділет министрлігі </w:t>
      </w:r>
    </w:p>
    <w:p w:rsidR="00D57C32" w:rsidRDefault="00D57C32" w:rsidP="00D57C32">
      <w:pPr>
        <w:ind w:firstLine="708"/>
        <w:rPr>
          <w:sz w:val="28"/>
          <w:szCs w:val="28"/>
        </w:rPr>
      </w:pPr>
    </w:p>
    <w:p w:rsidR="00D57C32" w:rsidRDefault="00D57C32" w:rsidP="00D57C32">
      <w:pPr>
        <w:rPr>
          <w:sz w:val="28"/>
          <w:szCs w:val="28"/>
        </w:rPr>
      </w:pPr>
    </w:p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D57C32" w:rsidRDefault="00D57C32" w:rsidP="00D57C32">
      <w:pPr>
        <w:ind w:left="709"/>
      </w:pPr>
      <w:r>
        <w:rPr>
          <w:bCs/>
          <w:sz w:val="28"/>
          <w:szCs w:val="28"/>
          <w:lang w:val="kk-KZ"/>
        </w:rPr>
        <w:t>Қаржы министрлігі</w:t>
      </w:r>
    </w:p>
    <w:p w:rsidR="00D57C32" w:rsidRDefault="00D57C32" w:rsidP="00D57C32">
      <w:pPr>
        <w:rPr>
          <w:lang w:val="kk-KZ"/>
        </w:rPr>
      </w:pPr>
    </w:p>
    <w:p w:rsidR="00D57C32" w:rsidRDefault="00D57C32" w:rsidP="00D57C32">
      <w:pPr>
        <w:rPr>
          <w:lang w:val="kk-KZ"/>
        </w:rPr>
      </w:pPr>
    </w:p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Қазақстан Республикасы</w:t>
      </w:r>
    </w:p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Ұлттық экономика министрлігі</w:t>
      </w:r>
    </w:p>
    <w:p w:rsidR="00D57C32" w:rsidRDefault="00D57C32" w:rsidP="00D57C32"/>
    <w:p w:rsidR="00D57C32" w:rsidRDefault="00D57C32" w:rsidP="00D57C32"/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D57C32" w:rsidRDefault="00D57C32" w:rsidP="00D57C32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Цифрлық даму, инновациялар және аэроғарыш өнеркәсібі министрлігі</w:t>
      </w:r>
    </w:p>
    <w:p w:rsidR="00D57C32" w:rsidRDefault="00D57C32" w:rsidP="00D57C32">
      <w:pPr>
        <w:ind w:firstLine="708"/>
        <w:rPr>
          <w:bCs/>
          <w:sz w:val="28"/>
          <w:szCs w:val="28"/>
        </w:rPr>
      </w:pPr>
    </w:p>
    <w:p w:rsidR="00D57C32" w:rsidRDefault="00D57C32" w:rsidP="00D57C32">
      <w:pPr>
        <w:ind w:firstLine="708"/>
        <w:rPr>
          <w:sz w:val="28"/>
          <w:szCs w:val="28"/>
        </w:rPr>
      </w:pPr>
    </w:p>
    <w:p w:rsidR="00D57C32" w:rsidRDefault="00D57C32" w:rsidP="00D57C32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D57C32" w:rsidRDefault="00D57C32" w:rsidP="00D57C32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Су ресурстары және ирригация министрлігі</w:t>
      </w:r>
    </w:p>
    <w:p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D57C32">
        <w:trPr>
          <w:trHeight w:val="3895"/>
        </w:trPr>
        <w:tc>
          <w:tcPr>
            <w:tcW w:w="3652" w:type="dxa"/>
            <w:hideMark/>
          </w:tcPr>
          <w:p w:rsidR="00D57C32" w:rsidRDefault="00D57C32">
            <w:pPr>
              <w:rPr>
                <w:b/>
                <w:sz w:val="28"/>
                <w:szCs w:val="28"/>
              </w:rPr>
            </w:pPr>
          </w:p>
          <w:p w:rsidR="00D57C32" w:rsidRDefault="00D57C32">
            <w:pPr>
              <w:rPr>
                <w:b/>
                <w:sz w:val="28"/>
                <w:szCs w:val="28"/>
              </w:rPr>
            </w:pPr>
          </w:p>
          <w:p w:rsidR="00D57C32" w:rsidRDefault="00D57C32">
            <w:pPr>
              <w:rPr>
                <w:b/>
                <w:sz w:val="28"/>
                <w:szCs w:val="28"/>
              </w:rPr>
            </w:pPr>
          </w:p>
          <w:p w:rsidR="00D57C32" w:rsidRDefault="00D57C32">
            <w:pPr>
              <w:rPr>
                <w:b/>
                <w:sz w:val="28"/>
                <w:szCs w:val="28"/>
              </w:rPr>
            </w:pPr>
          </w:p>
          <w:p w:rsidR="008858D2" w:rsidRDefault="008858D2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D57C32" w:rsidRDefault="00D57C32">
            <w:pPr>
              <w:rPr>
                <w:b/>
                <w:sz w:val="28"/>
                <w:szCs w:val="28"/>
                <w:lang w:val="kk-KZ"/>
              </w:rPr>
            </w:pPr>
          </w:p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216" w:rsidRDefault="00E12216">
      <w:r>
        <w:separator/>
      </w:r>
    </w:p>
  </w:endnote>
  <w:endnote w:type="continuationSeparator" w:id="0">
    <w:p w:rsidR="00E12216" w:rsidRDefault="00E1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216" w:rsidRDefault="00E12216">
      <w:r>
        <w:separator/>
      </w:r>
    </w:p>
  </w:footnote>
  <w:footnote w:type="continuationSeparator" w:id="0">
    <w:p w:rsidR="00E12216" w:rsidRDefault="00E12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52D94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252D9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252D94">
            <w:rPr>
              <w:b/>
              <w:bCs/>
              <w:color w:val="3399FF"/>
              <w:lang w:val="kk-KZ"/>
            </w:rPr>
            <w:t>ӨНЕРКӘСІП ЖӘНЕ ҚҰРЫЛЫС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252D94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ПРОМЫШЛЕННОСТИ И СТРОИТЕЛЬСТВА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52D94"/>
    <w:rsid w:val="002A394A"/>
    <w:rsid w:val="002C3EC7"/>
    <w:rsid w:val="002F11B1"/>
    <w:rsid w:val="00341898"/>
    <w:rsid w:val="00364E0B"/>
    <w:rsid w:val="00395A26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57C32"/>
    <w:rsid w:val="00DC3588"/>
    <w:rsid w:val="00DC45FB"/>
    <w:rsid w:val="00DD35CD"/>
    <w:rsid w:val="00E12216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D57C3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D57C32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D57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D57C3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D57C32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D5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32</cp:revision>
  <dcterms:created xsi:type="dcterms:W3CDTF">2018-09-21T12:01:00Z</dcterms:created>
  <dcterms:modified xsi:type="dcterms:W3CDTF">2025-05-19T14:31:00Z</dcterms:modified>
</cp:coreProperties>
</file>